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87A1" w14:textId="77777777" w:rsidR="00D37A39" w:rsidRPr="00D37A39" w:rsidRDefault="00D37A39" w:rsidP="00D37A39">
      <w:pPr>
        <w:pStyle w:val="ad"/>
        <w:shd w:val="clear" w:color="auto" w:fill="FFFFFF"/>
        <w:ind w:firstLine="851"/>
        <w:jc w:val="right"/>
        <w:rPr>
          <w:color w:val="000000" w:themeColor="text1"/>
        </w:rPr>
      </w:pPr>
      <w:r w:rsidRPr="00D37A39">
        <w:rPr>
          <w:color w:val="000000" w:themeColor="text1"/>
        </w:rPr>
        <w:t>Приложение № 10</w:t>
      </w:r>
    </w:p>
    <w:p w14:paraId="10180B53" w14:textId="77777777" w:rsidR="00D37A39" w:rsidRPr="00D37A39" w:rsidRDefault="00D37A39" w:rsidP="00D37A39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к Положению об утилизации выведенных </w:t>
      </w:r>
      <w:r w:rsidRPr="00D37A39">
        <w:rPr>
          <w:color w:val="000000" w:themeColor="text1"/>
          <w:sz w:val="24"/>
          <w:szCs w:val="24"/>
        </w:rPr>
        <w:br/>
        <w:t xml:space="preserve">из эксплуатации транспортных средств </w:t>
      </w:r>
    </w:p>
    <w:p w14:paraId="05772ED8" w14:textId="77777777" w:rsidR="00D37A39" w:rsidRPr="00D37A39" w:rsidRDefault="00D37A39" w:rsidP="00D37A39">
      <w:pPr>
        <w:shd w:val="clear" w:color="auto" w:fill="FFFFFF"/>
        <w:ind w:firstLine="851"/>
        <w:jc w:val="right"/>
        <w:rPr>
          <w:bCs/>
          <w:color w:val="000000" w:themeColor="text1"/>
          <w:sz w:val="24"/>
          <w:szCs w:val="24"/>
        </w:rPr>
      </w:pPr>
    </w:p>
    <w:p w14:paraId="484CD714" w14:textId="77777777" w:rsidR="00D37A39" w:rsidRPr="00D37A39" w:rsidRDefault="00D37A39" w:rsidP="00D37A39">
      <w:pPr>
        <w:jc w:val="center"/>
        <w:rPr>
          <w:b/>
          <w:bCs/>
          <w:color w:val="000000" w:themeColor="text1"/>
          <w:sz w:val="24"/>
          <w:szCs w:val="24"/>
        </w:rPr>
      </w:pPr>
      <w:r w:rsidRPr="00D37A39">
        <w:rPr>
          <w:b/>
          <w:color w:val="000000" w:themeColor="text1"/>
          <w:sz w:val="24"/>
          <w:szCs w:val="24"/>
        </w:rPr>
        <w:t xml:space="preserve">ПОРЯДОК ПРОВЕРКИ  </w:t>
      </w:r>
    </w:p>
    <w:p w14:paraId="46E40676" w14:textId="77777777" w:rsidR="00D37A39" w:rsidRPr="00D37A39" w:rsidRDefault="00D37A39" w:rsidP="00D37A39">
      <w:pPr>
        <w:jc w:val="center"/>
        <w:rPr>
          <w:b/>
          <w:bCs/>
          <w:color w:val="000000" w:themeColor="text1"/>
          <w:sz w:val="24"/>
          <w:szCs w:val="24"/>
        </w:rPr>
      </w:pPr>
      <w:r w:rsidRPr="00D37A39">
        <w:rPr>
          <w:b/>
          <w:color w:val="000000" w:themeColor="text1"/>
          <w:sz w:val="24"/>
          <w:szCs w:val="24"/>
        </w:rPr>
        <w:t>пояснительного и финансового отчетов о достижении целей</w:t>
      </w:r>
    </w:p>
    <w:p w14:paraId="34D8C1CC" w14:textId="77777777" w:rsidR="00D37A39" w:rsidRPr="00D37A39" w:rsidRDefault="00D37A39" w:rsidP="00D37A39">
      <w:pPr>
        <w:spacing w:line="240" w:lineRule="atLeast"/>
        <w:ind w:right="-394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 </w:t>
      </w:r>
    </w:p>
    <w:p w14:paraId="7A8F7C48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В пояснительном и финансовом отчетах содержится информация о реализации расширенной ответственности производителя логистического и финансового характера, установленная Положением и Законом № 209/2016 об отходах. </w:t>
      </w:r>
    </w:p>
    <w:p w14:paraId="6D9FD9CE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Проверка пояснительного и финансового отчетов включает, но не ограничивается следующими аспектами:  </w:t>
      </w:r>
    </w:p>
    <w:p w14:paraId="28739339" w14:textId="77777777" w:rsidR="00D37A39" w:rsidRPr="00D37A39" w:rsidRDefault="00D37A39" w:rsidP="00D37A39">
      <w:pPr>
        <w:pStyle w:val="a7"/>
        <w:tabs>
          <w:tab w:val="left" w:pos="0"/>
        </w:tabs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D37A39">
        <w:rPr>
          <w:rFonts w:cs="Times New Roman"/>
          <w:color w:val="000000" w:themeColor="text1"/>
          <w:szCs w:val="24"/>
        </w:rPr>
        <w:t xml:space="preserve">1) выполнение обязанностей, описанных в главах </w:t>
      </w:r>
      <w:proofErr w:type="gramStart"/>
      <w:r w:rsidRPr="00D37A39">
        <w:rPr>
          <w:rFonts w:cs="Times New Roman"/>
          <w:color w:val="000000" w:themeColor="text1"/>
          <w:szCs w:val="24"/>
        </w:rPr>
        <w:t>II-IX</w:t>
      </w:r>
      <w:proofErr w:type="gramEnd"/>
      <w:r w:rsidRPr="00D37A39">
        <w:rPr>
          <w:rFonts w:cs="Times New Roman"/>
          <w:color w:val="000000" w:themeColor="text1"/>
          <w:szCs w:val="24"/>
        </w:rPr>
        <w:t xml:space="preserve"> Постановления;    </w:t>
      </w:r>
    </w:p>
    <w:p w14:paraId="74E3AE05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2) соблюдение требований к организации коллективной системы, обновление списка производителей, присоединившихся к коллективной системе, на официальной веб-странице коллективной системы, создание контролирующего органа (цензора), предоставление аудиторского отчета, в соответствующих случаях;</w:t>
      </w:r>
    </w:p>
    <w:p w14:paraId="5D97FE7C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3) рассмотрение отчетов о степени выполнения годовых целей по утилизации отходов в соответствии с требованиями Положения и представление подтверждающих документов, на основании которых осуществлялись операции по управлению отходами с указанием количества собранных и обработанных отходов;    </w:t>
      </w:r>
    </w:p>
    <w:p w14:paraId="2B0AC0E0" w14:textId="77777777" w:rsidR="00D37A39" w:rsidRPr="00D37A39" w:rsidRDefault="00D37A39" w:rsidP="00D37A39">
      <w:pPr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4) проверка состояния развития инфраструктуры по сбору отходов с акцентом на следующее:</w:t>
      </w:r>
    </w:p>
    <w:p w14:paraId="56962572" w14:textId="77777777" w:rsidR="00D37A39" w:rsidRPr="00D37A39" w:rsidRDefault="00D37A39" w:rsidP="00D37A39">
      <w:pPr>
        <w:tabs>
          <w:tab w:val="left" w:pos="1440"/>
        </w:tabs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a) развитие собственной инфраструктуры по сбору; </w:t>
      </w:r>
    </w:p>
    <w:p w14:paraId="5927589C" w14:textId="77777777" w:rsidR="00D37A39" w:rsidRPr="00D37A39" w:rsidRDefault="00D37A39" w:rsidP="00D37A39">
      <w:pPr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b) заключение договоров с авторизованными операторами, обладающими возможностями перерабатывать отходы, или их материалы и компоненты;</w:t>
      </w:r>
    </w:p>
    <w:p w14:paraId="557F3C7A" w14:textId="77777777" w:rsidR="00D37A39" w:rsidRPr="00D37A39" w:rsidRDefault="00D37A39" w:rsidP="00D37A39">
      <w:pPr>
        <w:tabs>
          <w:tab w:val="left" w:pos="1440"/>
        </w:tabs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c) финансирование расходов, указанных в части (2</w:t>
      </w:r>
      <w:r w:rsidRPr="00D37A39">
        <w:rPr>
          <w:color w:val="000000" w:themeColor="text1"/>
          <w:sz w:val="24"/>
          <w:szCs w:val="24"/>
          <w:vertAlign w:val="superscript"/>
        </w:rPr>
        <w:t>1</w:t>
      </w:r>
      <w:r w:rsidRPr="00D37A39">
        <w:rPr>
          <w:color w:val="000000" w:themeColor="text1"/>
          <w:sz w:val="24"/>
          <w:szCs w:val="24"/>
        </w:rPr>
        <w:t xml:space="preserve">) статьи 12 Закона № 209/2016 об отходах; </w:t>
      </w:r>
    </w:p>
    <w:p w14:paraId="0D3FEC11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5) проверка соответствия отчетности в отношении производителей, сборщиков и переработчиков выведенных из эксплуатации транспортных средств;   </w:t>
      </w:r>
    </w:p>
    <w:p w14:paraId="684FF02F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6) проверка финансовых аспектов, а именно:</w:t>
      </w:r>
    </w:p>
    <w:p w14:paraId="5DBE3B20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a) размещение на официальной веб-странице информации о размере тарифов за принятие ответственности за управление отходами; </w:t>
      </w:r>
    </w:p>
    <w:p w14:paraId="65EF24B9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b) представление и описание операционных расходов на управление отходами; </w:t>
      </w:r>
    </w:p>
    <w:p w14:paraId="2260AED7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c) финансовые взносы, покрывающие все расходы, указанные в части (2</w:t>
      </w:r>
      <w:r w:rsidRPr="00D37A39">
        <w:rPr>
          <w:color w:val="000000" w:themeColor="text1"/>
          <w:sz w:val="24"/>
          <w:szCs w:val="24"/>
          <w:vertAlign w:val="superscript"/>
        </w:rPr>
        <w:t>1</w:t>
      </w:r>
      <w:r w:rsidRPr="00D37A39">
        <w:rPr>
          <w:color w:val="000000" w:themeColor="text1"/>
          <w:sz w:val="24"/>
          <w:szCs w:val="24"/>
        </w:rPr>
        <w:t>) статьи 12 Закона № 209/2016 об отходах;</w:t>
      </w:r>
    </w:p>
    <w:p w14:paraId="72203B94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7) проверка прослеживаемости собранных отходов от пункта сбора/коллектора до установки по обработке/переработке;     </w:t>
      </w:r>
    </w:p>
    <w:p w14:paraId="599A95EC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8) результаты проверок, проведенных природоохранными органами, в случае необходимости;   </w:t>
      </w:r>
    </w:p>
    <w:p w14:paraId="1A767400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9) соблюдение указаний в природоохранном разрешении по управлению отходами, в соответствующих случаях;     </w:t>
      </w:r>
      <w:r w:rsidRPr="00D37A39">
        <w:rPr>
          <w:strike/>
          <w:color w:val="000000" w:themeColor="text1"/>
          <w:sz w:val="24"/>
          <w:szCs w:val="24"/>
        </w:rPr>
        <w:t xml:space="preserve"> </w:t>
      </w:r>
    </w:p>
    <w:p w14:paraId="4D4CE1BE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10) выполнение годовых задач по обработке, переработке и рециркуляции в соответствии с требованиями Положения;</w:t>
      </w:r>
    </w:p>
    <w:p w14:paraId="197D0347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11) обеспечение прозрачности по отношению ко всем экономическим операторам, за которых была принята ответственность;     </w:t>
      </w:r>
    </w:p>
    <w:p w14:paraId="6BF378AE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12) соблюдение одинаковых тарифов на утилизацию выведенных из эксплуатации транспортных средств по отношению ко всем производителям/уполномоченным представителям, за которых они приняли ответственность, в соответствующих случаях;    </w:t>
      </w:r>
    </w:p>
    <w:p w14:paraId="7669ACC2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13) реинвестирование прибыли в те же виды деятельности, которые осуществлялись с целью выполнения обязательств, в отношении которых была принята ответственность коллективными системами;     </w:t>
      </w:r>
    </w:p>
    <w:p w14:paraId="4F1590ED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14) описание действий по информированию общественности:</w:t>
      </w:r>
    </w:p>
    <w:p w14:paraId="0965B715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lastRenderedPageBreak/>
        <w:t>a) осуществление информационных кампаний для потребителей и пользователей;</w:t>
      </w:r>
    </w:p>
    <w:p w14:paraId="1E2D5215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b) предоставление прозрачной публичной информации о сборе и обработке отходов с указанием на достижение целей; </w:t>
      </w:r>
    </w:p>
    <w:p w14:paraId="4BB2C4F9" w14:textId="77777777" w:rsidR="00D37A39" w:rsidRPr="00D37A39" w:rsidRDefault="00D37A39" w:rsidP="00D37A39">
      <w:pPr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c) в случае коллективного выполнения обязательств, связанных с расширенной ответственностью производителя, предоставление информации об:</w:t>
      </w:r>
    </w:p>
    <w:p w14:paraId="243B5A07" w14:textId="77777777" w:rsidR="00D37A39" w:rsidRPr="00D37A39" w:rsidRDefault="00D37A39" w:rsidP="00D37A39">
      <w:pPr>
        <w:ind w:left="720" w:firstLine="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- учредителях и членах коллективной системы;</w:t>
      </w:r>
    </w:p>
    <w:p w14:paraId="13F982A8" w14:textId="77777777" w:rsidR="00D37A39" w:rsidRPr="00D37A39" w:rsidRDefault="00D37A39" w:rsidP="00D37A39">
      <w:pPr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 xml:space="preserve">- финансовых взносах, выплачиваемых производителями продукции за каждую проданную единицу или за каждую тонну продукции, размещенную на рынке; </w:t>
      </w:r>
    </w:p>
    <w:p w14:paraId="66161EC7" w14:textId="77777777" w:rsidR="00D37A39" w:rsidRPr="00D37A39" w:rsidRDefault="00D37A39" w:rsidP="00D37A39">
      <w:pPr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- процедуре отбора операторов по управлению отходами;</w:t>
      </w:r>
    </w:p>
    <w:p w14:paraId="79A79786" w14:textId="77777777" w:rsidR="00D37A39" w:rsidRPr="00D37A39" w:rsidRDefault="00D37A39" w:rsidP="00D37A39">
      <w:pPr>
        <w:ind w:firstLine="720"/>
        <w:rPr>
          <w:color w:val="000000" w:themeColor="text1"/>
          <w:sz w:val="24"/>
          <w:szCs w:val="24"/>
        </w:rPr>
      </w:pPr>
      <w:r w:rsidRPr="00D37A39">
        <w:rPr>
          <w:color w:val="000000" w:themeColor="text1"/>
          <w:sz w:val="24"/>
          <w:szCs w:val="24"/>
        </w:rPr>
        <w:t>15) выявление существующих рисков и порядок их устранения;</w:t>
      </w:r>
    </w:p>
    <w:p w14:paraId="2D6CEAB7" w14:textId="318DA827" w:rsidR="00D37A39" w:rsidRPr="00D37A39" w:rsidRDefault="00D37A39" w:rsidP="00D37A39">
      <w:pPr>
        <w:ind w:firstLine="720"/>
        <w:rPr>
          <w:color w:val="000000" w:themeColor="text1"/>
          <w:sz w:val="24"/>
          <w:szCs w:val="24"/>
          <w:lang w:val="ro-RO"/>
        </w:rPr>
      </w:pPr>
      <w:r w:rsidRPr="00D37A39">
        <w:rPr>
          <w:color w:val="000000" w:themeColor="text1"/>
          <w:sz w:val="24"/>
          <w:szCs w:val="24"/>
        </w:rPr>
        <w:t>16) описание внутренних и внешних препятствий, возникающих при выполнении индивидуальной/коллективной системой и/или авторизованными операторами своих задач в области обработки, переработки и рециркуляции выведенных из эксплуатации транспортных средств.</w:t>
      </w:r>
    </w:p>
    <w:p w14:paraId="46752BD9" w14:textId="77777777" w:rsidR="00D37A39" w:rsidRPr="00D37A39" w:rsidRDefault="00D37A39" w:rsidP="00D37A39">
      <w:pPr>
        <w:ind w:firstLine="720"/>
        <w:rPr>
          <w:color w:val="000000" w:themeColor="text1"/>
          <w:sz w:val="24"/>
          <w:szCs w:val="24"/>
        </w:rPr>
      </w:pPr>
    </w:p>
    <w:p w14:paraId="32584DAE" w14:textId="77777777" w:rsidR="00B32DE8" w:rsidRPr="00D37A39" w:rsidRDefault="00B32DE8">
      <w:pPr>
        <w:rPr>
          <w:sz w:val="24"/>
          <w:szCs w:val="24"/>
        </w:rPr>
      </w:pPr>
    </w:p>
    <w:sectPr w:rsidR="00B32DE8" w:rsidRPr="00D37A39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A39"/>
    <w:rsid w:val="0058181B"/>
    <w:rsid w:val="005C0197"/>
    <w:rsid w:val="006D1F82"/>
    <w:rsid w:val="00812258"/>
    <w:rsid w:val="009F3CD3"/>
    <w:rsid w:val="00B32DE8"/>
    <w:rsid w:val="00D37A39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73C4"/>
  <w15:chartTrackingRefBased/>
  <w15:docId w15:val="{C8354E75-12DD-400C-8C82-D6CEC25E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A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37A39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A39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A39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7A39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7A39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7A39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7A39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7A39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7A39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A3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7A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7A3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7A39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37A39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37A39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37A39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37A39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37A39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D37A39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37A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7A39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37A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7A39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37A39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D37A39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D37A39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37A3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D37A39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D37A39"/>
    <w:rPr>
      <w:b/>
      <w:bCs/>
      <w:smallCaps/>
      <w:color w:val="365F91" w:themeColor="accent1" w:themeShade="BF"/>
      <w:spacing w:val="5"/>
    </w:rPr>
  </w:style>
  <w:style w:type="paragraph" w:styleId="ad">
    <w:name w:val="Normal (Web)"/>
    <w:basedOn w:val="a"/>
    <w:link w:val="ae"/>
    <w:uiPriority w:val="99"/>
    <w:unhideWhenUsed/>
    <w:rsid w:val="00D37A39"/>
    <w:pPr>
      <w:ind w:firstLine="567"/>
    </w:pPr>
    <w:rPr>
      <w:sz w:val="24"/>
      <w:szCs w:val="24"/>
      <w:lang w:eastAsia="ru-RU"/>
    </w:rPr>
  </w:style>
  <w:style w:type="character" w:customStyle="1" w:styleId="ae">
    <w:name w:val="Обычный (Интернет) Знак"/>
    <w:link w:val="ad"/>
    <w:uiPriority w:val="99"/>
    <w:locked/>
    <w:rsid w:val="00D37A3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D37A3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2025-11-07T09:54:00Z</dcterms:created>
  <dcterms:modified xsi:type="dcterms:W3CDTF">2025-11-07T09:54:00Z</dcterms:modified>
</cp:coreProperties>
</file>